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704" w:rsidRDefault="006C2704" w:rsidP="006C2704">
      <w:pPr>
        <w:pStyle w:val="FreeFormAA"/>
        <w:jc w:val="center"/>
        <w:rPr>
          <w:rFonts w:ascii="Arial" w:hAnsi="Arial"/>
          <w:b/>
          <w:sz w:val="32"/>
        </w:rPr>
      </w:pPr>
      <w:r>
        <w:rPr>
          <w:rFonts w:ascii="Arial" w:hAnsi="Arial"/>
          <w:b/>
          <w:sz w:val="32"/>
        </w:rPr>
        <w:t>Working Group on U.S. Women and PrEP</w:t>
      </w:r>
    </w:p>
    <w:p w:rsidR="006C2704" w:rsidRDefault="006C2704" w:rsidP="004C3935">
      <w:pPr>
        <w:rPr>
          <w:rFonts w:ascii="Helvetica" w:hAnsi="Helvetica"/>
          <w:szCs w:val="22"/>
        </w:rPr>
      </w:pPr>
    </w:p>
    <w:p w:rsidR="00636F1A" w:rsidRDefault="00636F1A" w:rsidP="004C3935">
      <w:pPr>
        <w:rPr>
          <w:rFonts w:ascii="Helvetica" w:hAnsi="Helvetica"/>
          <w:szCs w:val="22"/>
        </w:rPr>
      </w:pPr>
    </w:p>
    <w:p w:rsidR="004C3935" w:rsidRPr="00DA3E9C" w:rsidRDefault="004C3935" w:rsidP="004C3935">
      <w:pPr>
        <w:rPr>
          <w:rStyle w:val="Hyperlink"/>
          <w:rFonts w:ascii="Helvetica" w:eastAsia="ヒラギノ角ゴ Pro W3" w:hAnsi="Helvetica" w:cs="Helvetica"/>
          <w:color w:val="000000"/>
          <w:sz w:val="24"/>
          <w:szCs w:val="22"/>
          <w:u w:val="none" w:color="386EFF"/>
          <w:lang w:val="en-GB" w:eastAsia="en-US"/>
        </w:rPr>
      </w:pPr>
      <w:r w:rsidRPr="00DA3E9C">
        <w:rPr>
          <w:rFonts w:ascii="Helvetica" w:hAnsi="Helvetica"/>
          <w:szCs w:val="22"/>
        </w:rPr>
        <w:t>Embargoed for release</w:t>
      </w:r>
      <w:proofErr w:type="gramStart"/>
      <w:r w:rsidRPr="00DA3E9C">
        <w:rPr>
          <w:rFonts w:ascii="Helvetica" w:hAnsi="Helvetica"/>
          <w:szCs w:val="22"/>
        </w:rPr>
        <w:t>:</w:t>
      </w:r>
      <w:proofErr w:type="gramEnd"/>
      <w:r w:rsidRPr="00DA3E9C">
        <w:rPr>
          <w:rFonts w:ascii="Helvetica" w:hAnsi="Helvetica"/>
          <w:szCs w:val="22"/>
        </w:rPr>
        <w:br/>
        <w:t xml:space="preserve">12:15 pm, March 4, 2013 </w:t>
      </w:r>
    </w:p>
    <w:p w:rsidR="004C3935" w:rsidRDefault="004C3935">
      <w:pPr>
        <w:rPr>
          <w:rFonts w:ascii="Helvetica" w:hAnsi="Helvetica" w:cs="Helvetica"/>
          <w:color w:val="auto"/>
          <w:szCs w:val="22"/>
          <w:u w:color="386EFF"/>
        </w:rPr>
      </w:pPr>
      <w:r w:rsidRPr="00005205">
        <w:rPr>
          <w:rFonts w:ascii="Helvetica" w:hAnsi="Helvetica"/>
          <w:color w:val="auto"/>
          <w:szCs w:val="22"/>
        </w:rPr>
        <w:t>Contact</w:t>
      </w:r>
      <w:proofErr w:type="gramStart"/>
      <w:r w:rsidRPr="00005205">
        <w:rPr>
          <w:rFonts w:ascii="Helvetica" w:hAnsi="Helvetica"/>
          <w:color w:val="auto"/>
          <w:szCs w:val="22"/>
        </w:rPr>
        <w:t>:</w:t>
      </w:r>
      <w:proofErr w:type="gramEnd"/>
      <w:r w:rsidRPr="00005205">
        <w:rPr>
          <w:rFonts w:ascii="Helvetica" w:hAnsi="Helvetica"/>
          <w:color w:val="auto"/>
          <w:szCs w:val="22"/>
        </w:rPr>
        <w:br/>
      </w:r>
      <w:r w:rsidRPr="00005205">
        <w:rPr>
          <w:rFonts w:ascii="Helvetica" w:hAnsi="Helvetica"/>
          <w:color w:val="auto"/>
          <w:szCs w:val="22"/>
          <w:u w:color="000000"/>
        </w:rPr>
        <w:t xml:space="preserve">Dazon Dixon Diallo, </w:t>
      </w:r>
      <w:r w:rsidRPr="00005205">
        <w:rPr>
          <w:rFonts w:ascii="Helvetica" w:hAnsi="Helvetica" w:cs="Monaco"/>
          <w:color w:val="auto"/>
          <w:szCs w:val="22"/>
        </w:rPr>
        <w:t>404-932-7661,</w:t>
      </w:r>
      <w:r w:rsidRPr="00005205">
        <w:rPr>
          <w:rFonts w:ascii="Helvetica" w:hAnsi="Helvetica"/>
          <w:color w:val="auto"/>
          <w:szCs w:val="22"/>
          <w:u w:color="000000"/>
        </w:rPr>
        <w:t xml:space="preserve"> </w:t>
      </w:r>
      <w:hyperlink r:id="rId7" w:history="1">
        <w:r w:rsidRPr="003752A5">
          <w:rPr>
            <w:rStyle w:val="Hyperlink"/>
            <w:rFonts w:ascii="Helvetica" w:hAnsi="Helvetica"/>
            <w:color w:val="auto"/>
            <w:szCs w:val="22"/>
            <w:u w:val="none" w:color="000000"/>
          </w:rPr>
          <w:t>dddiallo@gmail.com</w:t>
        </w:r>
      </w:hyperlink>
      <w:r w:rsidRPr="003752A5">
        <w:rPr>
          <w:rFonts w:ascii="Helvetica" w:hAnsi="Helvetica" w:cs="Helvetica"/>
          <w:color w:val="auto"/>
          <w:szCs w:val="22"/>
        </w:rPr>
        <w:br/>
        <w:t xml:space="preserve">Erika Aaron, 215-696-0640, </w:t>
      </w:r>
      <w:hyperlink r:id="rId8" w:history="1">
        <w:r w:rsidRPr="003752A5">
          <w:rPr>
            <w:rStyle w:val="Hyperlink"/>
            <w:rFonts w:ascii="Helvetica" w:hAnsi="Helvetica" w:cs="Helvetica"/>
            <w:color w:val="auto"/>
            <w:szCs w:val="22"/>
            <w:u w:val="none" w:color="386EFF"/>
          </w:rPr>
          <w:t>erika.aaron@drexelmed.edu</w:t>
        </w:r>
      </w:hyperlink>
      <w:r w:rsidRPr="003752A5">
        <w:rPr>
          <w:rFonts w:ascii="Helvetica" w:hAnsi="Helvetica" w:cs="Helvetica"/>
          <w:color w:val="auto"/>
          <w:szCs w:val="22"/>
          <w:u w:color="386EFF"/>
        </w:rPr>
        <w:br/>
        <w:t>Kay Marshall, 347-249-6375, kay@avac.org</w:t>
      </w:r>
    </w:p>
    <w:p w:rsidR="004C3935" w:rsidRPr="00005205" w:rsidRDefault="004C3935">
      <w:pPr>
        <w:rPr>
          <w:rFonts w:ascii="Helvetica" w:hAnsi="Helvetica" w:cs="Helvetica"/>
          <w:color w:val="auto"/>
          <w:szCs w:val="22"/>
          <w:u w:color="386EFF"/>
        </w:rPr>
      </w:pPr>
    </w:p>
    <w:p w:rsidR="004C3935" w:rsidRPr="003752A5" w:rsidRDefault="004C3935" w:rsidP="004C3935">
      <w:pPr>
        <w:jc w:val="center"/>
        <w:rPr>
          <w:rFonts w:ascii="Helvetica" w:hAnsi="Helvetica"/>
          <w:b/>
          <w:szCs w:val="22"/>
        </w:rPr>
      </w:pPr>
      <w:r w:rsidRPr="00005205">
        <w:rPr>
          <w:rFonts w:ascii="Helvetica" w:hAnsi="Helvetica"/>
          <w:b/>
          <w:szCs w:val="22"/>
        </w:rPr>
        <w:t xml:space="preserve">Coalition of U.S. Women’s Health and HIV Advocates Call for Accelerated </w:t>
      </w:r>
      <w:r w:rsidRPr="00005205">
        <w:rPr>
          <w:rFonts w:ascii="Helvetica" w:hAnsi="Helvetica"/>
          <w:b/>
          <w:szCs w:val="22"/>
        </w:rPr>
        <w:br/>
        <w:t xml:space="preserve">US Government Plan for </w:t>
      </w:r>
      <w:r>
        <w:rPr>
          <w:rFonts w:ascii="Helvetica" w:hAnsi="Helvetica"/>
          <w:b/>
          <w:szCs w:val="22"/>
        </w:rPr>
        <w:t>Demonstrating F</w:t>
      </w:r>
      <w:r w:rsidRPr="003752A5">
        <w:rPr>
          <w:rFonts w:ascii="Helvetica" w:hAnsi="Helvetica"/>
          <w:b/>
          <w:szCs w:val="22"/>
        </w:rPr>
        <w:t xml:space="preserve">easibility of PrEP for Women </w:t>
      </w:r>
    </w:p>
    <w:p w:rsidR="004C3935" w:rsidRPr="003752A5" w:rsidRDefault="004C3935" w:rsidP="004C3935">
      <w:pPr>
        <w:jc w:val="center"/>
        <w:rPr>
          <w:rFonts w:ascii="Helvetica" w:hAnsi="Helvetica"/>
          <w:szCs w:val="22"/>
        </w:rPr>
      </w:pPr>
      <w:r w:rsidRPr="003752A5">
        <w:rPr>
          <w:rFonts w:ascii="Helvetica" w:hAnsi="Helvetica"/>
          <w:b/>
          <w:szCs w:val="22"/>
        </w:rPr>
        <w:t xml:space="preserve">VOICE Results Underscore Need for </w:t>
      </w:r>
      <w:r>
        <w:rPr>
          <w:rFonts w:ascii="Helvetica" w:hAnsi="Helvetica"/>
          <w:b/>
          <w:szCs w:val="22"/>
        </w:rPr>
        <w:t>C</w:t>
      </w:r>
      <w:r w:rsidRPr="003752A5">
        <w:rPr>
          <w:rFonts w:ascii="Helvetica" w:hAnsi="Helvetica"/>
          <w:b/>
          <w:szCs w:val="22"/>
        </w:rPr>
        <w:t>lear</w:t>
      </w:r>
      <w:r>
        <w:rPr>
          <w:rFonts w:ascii="Helvetica" w:hAnsi="Helvetica"/>
          <w:b/>
          <w:szCs w:val="22"/>
        </w:rPr>
        <w:t>,</w:t>
      </w:r>
      <w:r w:rsidRPr="003752A5">
        <w:rPr>
          <w:rFonts w:ascii="Helvetica" w:hAnsi="Helvetica"/>
          <w:b/>
          <w:szCs w:val="22"/>
        </w:rPr>
        <w:t xml:space="preserve"> US-Based PrEP Implementation Agenda </w:t>
      </w:r>
    </w:p>
    <w:p w:rsidR="004C3935" w:rsidRPr="003752A5" w:rsidRDefault="004C3935">
      <w:pPr>
        <w:rPr>
          <w:rFonts w:ascii="Helvetica" w:hAnsi="Helvetica"/>
          <w:szCs w:val="22"/>
        </w:rPr>
      </w:pPr>
      <w:r>
        <w:rPr>
          <w:rFonts w:ascii="Helvetica" w:hAnsi="Helvetica"/>
          <w:szCs w:val="22"/>
        </w:rPr>
        <w:br/>
      </w:r>
      <w:r w:rsidRPr="003752A5">
        <w:rPr>
          <w:rFonts w:ascii="Helvetica" w:hAnsi="Helvetica"/>
          <w:szCs w:val="22"/>
        </w:rPr>
        <w:t xml:space="preserve">Atlanta, March 4, 2013 – The </w:t>
      </w:r>
      <w:r w:rsidRPr="003752A5">
        <w:rPr>
          <w:rFonts w:ascii="Helvetica" w:hAnsi="Helvetica"/>
          <w:i/>
          <w:szCs w:val="22"/>
        </w:rPr>
        <w:t>U.S. Women and PrEP Working Group</w:t>
      </w:r>
      <w:r w:rsidRPr="003752A5">
        <w:rPr>
          <w:rFonts w:ascii="Helvetica" w:hAnsi="Helvetica"/>
          <w:szCs w:val="22"/>
        </w:rPr>
        <w:t>, a coalition of more than 50 women from leading AIDS and women’s health organizations,</w:t>
      </w:r>
      <w:r>
        <w:rPr>
          <w:rFonts w:ascii="Helvetica" w:hAnsi="Helvetica"/>
          <w:szCs w:val="22"/>
        </w:rPr>
        <w:t xml:space="preserve"> today called on US</w:t>
      </w:r>
      <w:r w:rsidRPr="003752A5">
        <w:rPr>
          <w:rFonts w:ascii="Helvetica" w:hAnsi="Helvetica"/>
          <w:szCs w:val="22"/>
        </w:rPr>
        <w:t xml:space="preserve"> government agencies to coordinate a national agenda that will quickly and accurately answer questions about how the antiretroviral (ARV) drug Truvada can best be made available as an HIV prevention option for women at risk of HIV infection.</w:t>
      </w:r>
    </w:p>
    <w:p w:rsidR="004C3935" w:rsidRPr="003752A5" w:rsidRDefault="004C3935">
      <w:pPr>
        <w:rPr>
          <w:rFonts w:ascii="Helvetica" w:hAnsi="Helvetica"/>
          <w:szCs w:val="22"/>
        </w:rPr>
      </w:pPr>
      <w:r w:rsidRPr="003752A5">
        <w:rPr>
          <w:rFonts w:ascii="Helvetica" w:hAnsi="Helvetica"/>
          <w:szCs w:val="22"/>
        </w:rPr>
        <w:t xml:space="preserve">The Working Group called for a </w:t>
      </w:r>
      <w:r>
        <w:rPr>
          <w:rFonts w:ascii="Helvetica" w:hAnsi="Helvetica"/>
          <w:szCs w:val="22"/>
        </w:rPr>
        <w:t>US f</w:t>
      </w:r>
      <w:r w:rsidRPr="003752A5">
        <w:rPr>
          <w:rFonts w:ascii="Helvetica" w:hAnsi="Helvetica"/>
          <w:szCs w:val="22"/>
        </w:rPr>
        <w:t xml:space="preserve">ederal coordinating group to be convened with the goal of ensuring that plans and funds are in place for demonstration projects that will answer key questions about the use of daily </w:t>
      </w:r>
      <w:r>
        <w:rPr>
          <w:rFonts w:ascii="Helvetica" w:hAnsi="Helvetica"/>
          <w:szCs w:val="22"/>
        </w:rPr>
        <w:t>tenofovir/emtricitibine (TDF/FTC, brand name</w:t>
      </w:r>
      <w:r w:rsidRPr="00183519">
        <w:rPr>
          <w:rFonts w:ascii="Helvetica" w:hAnsi="Helvetica"/>
          <w:szCs w:val="22"/>
        </w:rPr>
        <w:t xml:space="preserve"> </w:t>
      </w:r>
      <w:r w:rsidRPr="003752A5">
        <w:rPr>
          <w:rFonts w:ascii="Helvetica" w:hAnsi="Helvetica"/>
          <w:szCs w:val="22"/>
        </w:rPr>
        <w:t>Truvada</w:t>
      </w:r>
      <w:r>
        <w:rPr>
          <w:rFonts w:ascii="Helvetica" w:hAnsi="Helvetica"/>
          <w:szCs w:val="22"/>
        </w:rPr>
        <w:t>)</w:t>
      </w:r>
      <w:r w:rsidRPr="003752A5">
        <w:rPr>
          <w:rFonts w:ascii="Helvetica" w:hAnsi="Helvetica"/>
          <w:szCs w:val="22"/>
        </w:rPr>
        <w:t xml:space="preserve"> as pre-exposure prophylaxis (PrEP) among women in the United States</w:t>
      </w:r>
      <w:r>
        <w:rPr>
          <w:rFonts w:ascii="Helvetica" w:hAnsi="Helvetica"/>
          <w:szCs w:val="22"/>
        </w:rPr>
        <w:t>, as well as plans for educational campaigns for women, their partners and health care providers as PrEP is rolled out.</w:t>
      </w:r>
    </w:p>
    <w:p w:rsidR="004C3935" w:rsidRDefault="004C3935" w:rsidP="004C3935">
      <w:pPr>
        <w:spacing w:after="0"/>
        <w:rPr>
          <w:rFonts w:ascii="Helvetica" w:hAnsi="Helvetica"/>
          <w:szCs w:val="22"/>
        </w:rPr>
      </w:pPr>
      <w:r w:rsidRPr="003752A5">
        <w:rPr>
          <w:rFonts w:ascii="Helvetica" w:hAnsi="Helvetica"/>
          <w:szCs w:val="22"/>
        </w:rPr>
        <w:t>“</w:t>
      </w:r>
      <w:r>
        <w:rPr>
          <w:rFonts w:ascii="Helvetica" w:hAnsi="Helvetica"/>
          <w:szCs w:val="22"/>
        </w:rPr>
        <w:t>Many women in the US</w:t>
      </w:r>
      <w:r w:rsidRPr="003752A5">
        <w:rPr>
          <w:rFonts w:ascii="Helvetica" w:hAnsi="Helvetica"/>
          <w:szCs w:val="22"/>
        </w:rPr>
        <w:t xml:space="preserve"> are at high risk for HIV. In </w:t>
      </w:r>
      <w:r>
        <w:rPr>
          <w:rFonts w:ascii="Helvetica" w:hAnsi="Helvetica"/>
          <w:szCs w:val="22"/>
        </w:rPr>
        <w:t xml:space="preserve">some </w:t>
      </w:r>
      <w:proofErr w:type="gramStart"/>
      <w:r w:rsidRPr="003752A5">
        <w:rPr>
          <w:rFonts w:ascii="Helvetica" w:hAnsi="Helvetica"/>
          <w:szCs w:val="22"/>
        </w:rPr>
        <w:t>communities</w:t>
      </w:r>
      <w:proofErr w:type="gramEnd"/>
      <w:r w:rsidRPr="003752A5">
        <w:rPr>
          <w:rFonts w:ascii="Helvetica" w:hAnsi="Helvetica"/>
          <w:szCs w:val="22"/>
        </w:rPr>
        <w:t xml:space="preserve"> African American women are at as much risk of HIV as in many African communities</w:t>
      </w:r>
      <w:r>
        <w:rPr>
          <w:rFonts w:ascii="Helvetica" w:hAnsi="Helvetica"/>
          <w:szCs w:val="22"/>
        </w:rPr>
        <w:t xml:space="preserve"> and they need </w:t>
      </w:r>
      <w:r w:rsidRPr="003752A5">
        <w:rPr>
          <w:rFonts w:ascii="Helvetica" w:hAnsi="Helvetica"/>
          <w:szCs w:val="22"/>
        </w:rPr>
        <w:t>new HIV prevention options that they can control and use to protect themselves. PrEP can be that option for some women. The scientific evidence is</w:t>
      </w:r>
      <w:r>
        <w:rPr>
          <w:rFonts w:ascii="Helvetica" w:hAnsi="Helvetica"/>
          <w:szCs w:val="22"/>
        </w:rPr>
        <w:t xml:space="preserve"> clear, and last year’s</w:t>
      </w:r>
      <w:r w:rsidRPr="003752A5">
        <w:rPr>
          <w:rFonts w:ascii="Helvetica" w:hAnsi="Helvetica"/>
          <w:szCs w:val="22"/>
        </w:rPr>
        <w:t xml:space="preserve"> </w:t>
      </w:r>
      <w:r>
        <w:rPr>
          <w:rFonts w:ascii="Helvetica" w:hAnsi="Helvetica"/>
          <w:szCs w:val="22"/>
        </w:rPr>
        <w:t xml:space="preserve">FDA </w:t>
      </w:r>
      <w:r w:rsidRPr="00005205">
        <w:rPr>
          <w:rFonts w:ascii="Helvetica" w:hAnsi="Helvetica"/>
          <w:szCs w:val="22"/>
        </w:rPr>
        <w:t xml:space="preserve">approval of Truvada as PrEP for all men and women at risk of HIV paved the way for the next steps,” said Dazon Dixon Diallo, MPH, </w:t>
      </w:r>
      <w:proofErr w:type="gramStart"/>
      <w:r w:rsidRPr="00005205">
        <w:rPr>
          <w:rFonts w:ascii="Helvetica" w:hAnsi="Helvetica"/>
          <w:szCs w:val="22"/>
        </w:rPr>
        <w:t>Executive</w:t>
      </w:r>
      <w:proofErr w:type="gramEnd"/>
      <w:r w:rsidRPr="00005205">
        <w:rPr>
          <w:rFonts w:ascii="Helvetica" w:hAnsi="Helvetica"/>
          <w:szCs w:val="22"/>
        </w:rPr>
        <w:t xml:space="preserve"> Director of SisterLove and </w:t>
      </w:r>
      <w:r w:rsidRPr="007F2F2D">
        <w:rPr>
          <w:rFonts w:ascii="Helvetica" w:hAnsi="Helvetica"/>
          <w:szCs w:val="22"/>
        </w:rPr>
        <w:t>convener</w:t>
      </w:r>
      <w:r w:rsidRPr="00005205">
        <w:rPr>
          <w:rFonts w:ascii="Helvetica" w:hAnsi="Helvetica"/>
          <w:szCs w:val="22"/>
        </w:rPr>
        <w:t xml:space="preserve"> </w:t>
      </w:r>
      <w:r w:rsidRPr="007F2F2D">
        <w:rPr>
          <w:rFonts w:ascii="Helvetica" w:hAnsi="Helvetica"/>
          <w:szCs w:val="22"/>
        </w:rPr>
        <w:t>of</w:t>
      </w:r>
      <w:r w:rsidRPr="00005205">
        <w:rPr>
          <w:rFonts w:ascii="Helvetica" w:hAnsi="Helvetica"/>
          <w:szCs w:val="22"/>
        </w:rPr>
        <w:t xml:space="preserve"> the Working Group. </w:t>
      </w:r>
    </w:p>
    <w:p w:rsidR="004C3935" w:rsidRDefault="004C3935" w:rsidP="004C3935">
      <w:pPr>
        <w:spacing w:after="0"/>
        <w:rPr>
          <w:rFonts w:ascii="Helvetica" w:hAnsi="Helvetica"/>
          <w:szCs w:val="22"/>
        </w:rPr>
      </w:pPr>
    </w:p>
    <w:p w:rsidR="004C3935" w:rsidRPr="009C135C" w:rsidRDefault="004C3935" w:rsidP="004C3935">
      <w:pPr>
        <w:spacing w:after="0"/>
        <w:rPr>
          <w:rFonts w:ascii="Helvetica" w:hAnsi="Helvetica"/>
          <w:szCs w:val="22"/>
        </w:rPr>
      </w:pPr>
      <w:r w:rsidRPr="00005205">
        <w:rPr>
          <w:rFonts w:ascii="Helvetica" w:hAnsi="Helvetica"/>
          <w:szCs w:val="22"/>
        </w:rPr>
        <w:t>“</w:t>
      </w:r>
      <w:r w:rsidR="00582597" w:rsidRPr="00582597">
        <w:rPr>
          <w:rFonts w:ascii="Helvetica" w:hAnsi="Helvetica"/>
          <w:szCs w:val="22"/>
        </w:rPr>
        <w:t xml:space="preserve">While the clinical science is clear, the social and behavioral </w:t>
      </w:r>
      <w:r w:rsidR="00582597">
        <w:rPr>
          <w:rFonts w:ascii="Helvetica" w:hAnsi="Helvetica"/>
          <w:szCs w:val="22"/>
        </w:rPr>
        <w:t>implications are less so, and</w:t>
      </w:r>
      <w:r w:rsidRPr="00005205">
        <w:rPr>
          <w:rFonts w:ascii="Helvetica" w:hAnsi="Helvetica"/>
          <w:szCs w:val="22"/>
        </w:rPr>
        <w:t xml:space="preserve"> we </w:t>
      </w:r>
      <w:r w:rsidR="00582597">
        <w:rPr>
          <w:rFonts w:ascii="Helvetica" w:hAnsi="Helvetica"/>
          <w:szCs w:val="22"/>
        </w:rPr>
        <w:t xml:space="preserve">now </w:t>
      </w:r>
      <w:r w:rsidRPr="00005205">
        <w:rPr>
          <w:rFonts w:ascii="Helvetica" w:hAnsi="Helvetica"/>
          <w:szCs w:val="22"/>
        </w:rPr>
        <w:t xml:space="preserve">need to develop and fund demonstration projects that will help answer a range of questions about real-world use of PrEP by American women and </w:t>
      </w:r>
      <w:r w:rsidRPr="009C135C">
        <w:rPr>
          <w:rFonts w:ascii="Helvetica" w:hAnsi="Helvetica"/>
          <w:szCs w:val="22"/>
        </w:rPr>
        <w:t>move toward an integrated plan for PrEP rollout in our communities</w:t>
      </w:r>
      <w:r>
        <w:rPr>
          <w:rFonts w:ascii="Helvetica" w:hAnsi="Helvetica"/>
          <w:szCs w:val="22"/>
        </w:rPr>
        <w:t xml:space="preserve"> that includes support for healthcare providers, social workers and others who will help women use PrEP effectively,” Diallo added.</w:t>
      </w:r>
    </w:p>
    <w:p w:rsidR="004C3935" w:rsidRPr="003752A5" w:rsidRDefault="004C3935" w:rsidP="004C3935">
      <w:pPr>
        <w:spacing w:after="0"/>
        <w:rPr>
          <w:rFonts w:ascii="Helvetica" w:hAnsi="Helvetica"/>
          <w:szCs w:val="22"/>
        </w:rPr>
      </w:pPr>
    </w:p>
    <w:p w:rsidR="004C3935" w:rsidRPr="00DA3E9C" w:rsidRDefault="004C3935" w:rsidP="004C3935">
      <w:pPr>
        <w:spacing w:after="0"/>
        <w:rPr>
          <w:rFonts w:ascii="Helvetica" w:hAnsi="Helvetica"/>
          <w:szCs w:val="22"/>
        </w:rPr>
      </w:pPr>
      <w:r w:rsidRPr="003752A5">
        <w:rPr>
          <w:rFonts w:ascii="Helvetica" w:hAnsi="Helvetica"/>
          <w:szCs w:val="22"/>
        </w:rPr>
        <w:t xml:space="preserve">Researchers reported today </w:t>
      </w:r>
      <w:r>
        <w:rPr>
          <w:rFonts w:ascii="Helvetica" w:hAnsi="Helvetica"/>
          <w:szCs w:val="22"/>
        </w:rPr>
        <w:t>at</w:t>
      </w:r>
      <w:r w:rsidRPr="009C135C">
        <w:rPr>
          <w:rFonts w:ascii="Helvetica" w:hAnsi="Helvetica"/>
          <w:szCs w:val="22"/>
        </w:rPr>
        <w:t xml:space="preserve"> the 20</w:t>
      </w:r>
      <w:r w:rsidRPr="009B0124">
        <w:rPr>
          <w:rFonts w:ascii="Helvetica" w:hAnsi="Helvetica"/>
          <w:szCs w:val="22"/>
          <w:vertAlign w:val="superscript"/>
        </w:rPr>
        <w:t>th</w:t>
      </w:r>
      <w:r w:rsidRPr="009C135C">
        <w:rPr>
          <w:rFonts w:ascii="Helvetica" w:hAnsi="Helvetica"/>
          <w:szCs w:val="22"/>
        </w:rPr>
        <w:t xml:space="preserve"> Conference on Retroviruses and Opportunistic Infections (C</w:t>
      </w:r>
      <w:r w:rsidRPr="003752A5">
        <w:rPr>
          <w:rFonts w:ascii="Helvetica" w:hAnsi="Helvetica"/>
          <w:szCs w:val="22"/>
        </w:rPr>
        <w:t>ROI)</w:t>
      </w:r>
      <w:r>
        <w:rPr>
          <w:rFonts w:ascii="Helvetica" w:hAnsi="Helvetica"/>
          <w:szCs w:val="22"/>
        </w:rPr>
        <w:t xml:space="preserve"> in Atlanta </w:t>
      </w:r>
      <w:r w:rsidRPr="003752A5">
        <w:rPr>
          <w:rFonts w:ascii="Helvetica" w:hAnsi="Helvetica"/>
          <w:szCs w:val="22"/>
        </w:rPr>
        <w:t xml:space="preserve">that none of three interventions tested in </w:t>
      </w:r>
      <w:r>
        <w:rPr>
          <w:rFonts w:ascii="Helvetica" w:hAnsi="Helvetica"/>
          <w:szCs w:val="22"/>
        </w:rPr>
        <w:t xml:space="preserve">a large scale trial among African women, </w:t>
      </w:r>
      <w:r w:rsidRPr="009B0124">
        <w:rPr>
          <w:rFonts w:ascii="Helvetica" w:hAnsi="Helvetica"/>
          <w:szCs w:val="22"/>
        </w:rPr>
        <w:t xml:space="preserve">known as VOICE (Vaginal and Oral Interventions to Control the Epidemic) </w:t>
      </w:r>
      <w:proofErr w:type="gramStart"/>
      <w:r w:rsidRPr="007F2F2D">
        <w:rPr>
          <w:rFonts w:ascii="Helvetica" w:hAnsi="Helvetica"/>
          <w:szCs w:val="22"/>
        </w:rPr>
        <w:t>–  daily</w:t>
      </w:r>
      <w:proofErr w:type="gramEnd"/>
      <w:r w:rsidRPr="007F2F2D">
        <w:rPr>
          <w:rFonts w:ascii="Helvetica" w:hAnsi="Helvetica"/>
          <w:szCs w:val="22"/>
        </w:rPr>
        <w:t xml:space="preserve"> oral tenofovir, daily oral TDF/FTC and daily 1% vaginal tenofovir gel – provided additional protection against HIV, likely because of low adherence in across all three interventions. </w:t>
      </w:r>
    </w:p>
    <w:p w:rsidR="004C3935" w:rsidRDefault="004C3935" w:rsidP="004C3935">
      <w:pPr>
        <w:spacing w:after="0"/>
        <w:rPr>
          <w:rFonts w:ascii="Helvetica" w:hAnsi="Helvetica"/>
          <w:szCs w:val="22"/>
        </w:rPr>
      </w:pPr>
    </w:p>
    <w:p w:rsidR="00636F1A" w:rsidRDefault="00636F1A" w:rsidP="004C3935">
      <w:pPr>
        <w:spacing w:after="0"/>
        <w:rPr>
          <w:rFonts w:ascii="Helvetica" w:hAnsi="Helvetica"/>
          <w:szCs w:val="22"/>
        </w:rPr>
      </w:pPr>
    </w:p>
    <w:p w:rsidR="004C3935" w:rsidRPr="003752A5" w:rsidRDefault="004C3935" w:rsidP="004C3935">
      <w:pPr>
        <w:spacing w:after="0"/>
        <w:rPr>
          <w:rFonts w:ascii="Helvetica" w:hAnsi="Helvetica"/>
          <w:szCs w:val="22"/>
        </w:rPr>
      </w:pPr>
      <w:r w:rsidRPr="003752A5">
        <w:rPr>
          <w:rFonts w:ascii="Helvetica" w:hAnsi="Helvetica"/>
          <w:szCs w:val="22"/>
        </w:rPr>
        <w:lastRenderedPageBreak/>
        <w:t>PrEP trials in Africa have provided key data about women in different populations and life circumstances. Trials have shown high rates of effectiveness</w:t>
      </w:r>
      <w:r w:rsidRPr="00DA3E9C">
        <w:rPr>
          <w:rFonts w:ascii="Helvetica" w:hAnsi="Helvetica"/>
          <w:szCs w:val="22"/>
        </w:rPr>
        <w:t xml:space="preserve"> among African women in stable relationships in which one partner is HIV-positive and low or flat</w:t>
      </w:r>
      <w:r w:rsidRPr="00005205">
        <w:rPr>
          <w:rFonts w:ascii="Helvetica" w:hAnsi="Helvetica"/>
          <w:szCs w:val="22"/>
        </w:rPr>
        <w:t xml:space="preserve"> rates of effectiveness among young women who were less likely to be in stable relationships.</w:t>
      </w:r>
      <w:r>
        <w:rPr>
          <w:rFonts w:ascii="Helvetica" w:hAnsi="Helvetica"/>
          <w:szCs w:val="22"/>
        </w:rPr>
        <w:t xml:space="preserve"> In all of these trials,</w:t>
      </w:r>
      <w:r w:rsidRPr="00005205">
        <w:rPr>
          <w:rFonts w:ascii="Helvetica" w:hAnsi="Helvetica"/>
          <w:szCs w:val="22"/>
        </w:rPr>
        <w:t xml:space="preserve"> including the VOICE trial, </w:t>
      </w:r>
      <w:r w:rsidRPr="003752A5">
        <w:rPr>
          <w:rFonts w:ascii="Helvetica" w:hAnsi="Helvetica"/>
          <w:szCs w:val="22"/>
        </w:rPr>
        <w:t xml:space="preserve">higher rates of effectiveness were linked with higher rates of adherence. </w:t>
      </w:r>
    </w:p>
    <w:p w:rsidR="004C3935" w:rsidRPr="00DA3E9C" w:rsidRDefault="004C3935" w:rsidP="004C3935">
      <w:pPr>
        <w:spacing w:after="0"/>
        <w:rPr>
          <w:rFonts w:ascii="Helvetica" w:hAnsi="Helvetica"/>
          <w:szCs w:val="22"/>
        </w:rPr>
      </w:pPr>
    </w:p>
    <w:p w:rsidR="004C3935" w:rsidRPr="003752A5" w:rsidRDefault="004C3935" w:rsidP="004C3935">
      <w:pPr>
        <w:pStyle w:val="FreeFormAA"/>
        <w:rPr>
          <w:sz w:val="22"/>
          <w:szCs w:val="22"/>
        </w:rPr>
      </w:pPr>
      <w:r w:rsidRPr="007F2F2D">
        <w:rPr>
          <w:sz w:val="22"/>
          <w:szCs w:val="22"/>
        </w:rPr>
        <w:t xml:space="preserve">“The VOICE results were disappointing. The fact that few women in </w:t>
      </w:r>
      <w:r>
        <w:rPr>
          <w:sz w:val="22"/>
          <w:szCs w:val="22"/>
        </w:rPr>
        <w:t>a</w:t>
      </w:r>
      <w:r w:rsidRPr="007F2F2D">
        <w:rPr>
          <w:sz w:val="22"/>
          <w:szCs w:val="22"/>
        </w:rPr>
        <w:t xml:space="preserve"> trial</w:t>
      </w:r>
      <w:r>
        <w:rPr>
          <w:sz w:val="22"/>
          <w:szCs w:val="22"/>
        </w:rPr>
        <w:t xml:space="preserve"> which had very high rates of HIV incidence c</w:t>
      </w:r>
      <w:r w:rsidRPr="007F2F2D">
        <w:rPr>
          <w:sz w:val="22"/>
          <w:szCs w:val="22"/>
        </w:rPr>
        <w:t>hose</w:t>
      </w:r>
      <w:r>
        <w:rPr>
          <w:sz w:val="22"/>
          <w:szCs w:val="22"/>
        </w:rPr>
        <w:t xml:space="preserve"> to,</w:t>
      </w:r>
      <w:r w:rsidRPr="007F2F2D">
        <w:rPr>
          <w:sz w:val="22"/>
          <w:szCs w:val="22"/>
        </w:rPr>
        <w:t xml:space="preserve"> or were able to</w:t>
      </w:r>
      <w:r>
        <w:rPr>
          <w:sz w:val="22"/>
          <w:szCs w:val="22"/>
        </w:rPr>
        <w:t>,</w:t>
      </w:r>
      <w:r w:rsidRPr="007F2F2D">
        <w:rPr>
          <w:sz w:val="22"/>
          <w:szCs w:val="22"/>
        </w:rPr>
        <w:t xml:space="preserve"> use the products daily shows that we have much work to do to understand what </w:t>
      </w:r>
      <w:r>
        <w:rPr>
          <w:sz w:val="22"/>
          <w:szCs w:val="22"/>
        </w:rPr>
        <w:t xml:space="preserve">social, cultural and other </w:t>
      </w:r>
      <w:r w:rsidRPr="007F2F2D">
        <w:rPr>
          <w:sz w:val="22"/>
          <w:szCs w:val="22"/>
        </w:rPr>
        <w:t xml:space="preserve">factors affect adherence </w:t>
      </w:r>
      <w:r>
        <w:rPr>
          <w:sz w:val="22"/>
          <w:szCs w:val="22"/>
        </w:rPr>
        <w:t xml:space="preserve">to the prescribed dose </w:t>
      </w:r>
      <w:r w:rsidRPr="007F2F2D">
        <w:rPr>
          <w:sz w:val="22"/>
          <w:szCs w:val="22"/>
        </w:rPr>
        <w:t>and how we can support women in effectively using</w:t>
      </w:r>
      <w:r>
        <w:rPr>
          <w:sz w:val="22"/>
          <w:szCs w:val="22"/>
        </w:rPr>
        <w:t xml:space="preserve"> </w:t>
      </w:r>
      <w:r w:rsidRPr="007F2F2D">
        <w:rPr>
          <w:sz w:val="22"/>
          <w:szCs w:val="22"/>
        </w:rPr>
        <w:t xml:space="preserve">new prevention tools. </w:t>
      </w:r>
      <w:r>
        <w:rPr>
          <w:sz w:val="22"/>
          <w:szCs w:val="22"/>
        </w:rPr>
        <w:t xml:space="preserve">But </w:t>
      </w:r>
      <w:r w:rsidRPr="007F2F2D">
        <w:rPr>
          <w:sz w:val="22"/>
          <w:szCs w:val="22"/>
        </w:rPr>
        <w:t>PrEP remains a valuable option for many women who will want to and can use it as prescribed</w:t>
      </w:r>
      <w:r>
        <w:rPr>
          <w:sz w:val="22"/>
          <w:szCs w:val="22"/>
        </w:rPr>
        <w:t xml:space="preserve">,” </w:t>
      </w:r>
      <w:r w:rsidRPr="003752A5">
        <w:rPr>
          <w:sz w:val="22"/>
          <w:szCs w:val="22"/>
        </w:rPr>
        <w:t>said Manju Chatani-Gada, Senior Program Manager at AVAC and co-convener of the Working Group. “</w:t>
      </w:r>
      <w:r>
        <w:rPr>
          <w:sz w:val="22"/>
          <w:szCs w:val="22"/>
        </w:rPr>
        <w:t>Well-designed d</w:t>
      </w:r>
      <w:r w:rsidRPr="003752A5">
        <w:rPr>
          <w:sz w:val="22"/>
          <w:szCs w:val="22"/>
        </w:rPr>
        <w:t xml:space="preserve">emonstration projects </w:t>
      </w:r>
      <w:r>
        <w:rPr>
          <w:sz w:val="22"/>
          <w:szCs w:val="22"/>
        </w:rPr>
        <w:t>will help us</w:t>
      </w:r>
      <w:r w:rsidRPr="003752A5">
        <w:rPr>
          <w:sz w:val="22"/>
          <w:szCs w:val="22"/>
        </w:rPr>
        <w:t xml:space="preserve"> understand adherence and other real-world issues for women who choose to use </w:t>
      </w:r>
      <w:proofErr w:type="gramStart"/>
      <w:r w:rsidRPr="003752A5">
        <w:rPr>
          <w:sz w:val="22"/>
          <w:szCs w:val="22"/>
        </w:rPr>
        <w:t>PrEP</w:t>
      </w:r>
      <w:proofErr w:type="gramEnd"/>
      <w:r>
        <w:rPr>
          <w:sz w:val="22"/>
          <w:szCs w:val="22"/>
        </w:rPr>
        <w:t>.</w:t>
      </w:r>
      <w:r w:rsidRPr="003752A5">
        <w:rPr>
          <w:sz w:val="22"/>
          <w:szCs w:val="22"/>
        </w:rPr>
        <w:t>”</w:t>
      </w:r>
    </w:p>
    <w:p w:rsidR="004C3935" w:rsidRPr="00DA3E9C" w:rsidRDefault="004C3935" w:rsidP="004C3935">
      <w:pPr>
        <w:spacing w:after="0"/>
        <w:rPr>
          <w:rFonts w:ascii="Helvetica" w:hAnsi="Helvetica"/>
          <w:szCs w:val="22"/>
        </w:rPr>
      </w:pPr>
    </w:p>
    <w:p w:rsidR="004C3935" w:rsidRPr="003752A5" w:rsidRDefault="004C3935" w:rsidP="004C3935">
      <w:pPr>
        <w:rPr>
          <w:rFonts w:ascii="Helvetica" w:hAnsi="Helvetica"/>
          <w:szCs w:val="22"/>
          <w:u w:color="000000"/>
        </w:rPr>
      </w:pPr>
      <w:r w:rsidRPr="00DA3E9C">
        <w:rPr>
          <w:rFonts w:ascii="Helvetica" w:hAnsi="Helvetica"/>
          <w:szCs w:val="22"/>
        </w:rPr>
        <w:t xml:space="preserve">The Working Group calls for a coordinated, </w:t>
      </w:r>
      <w:r w:rsidRPr="00005205">
        <w:rPr>
          <w:rFonts w:ascii="Helvetica" w:hAnsi="Helvetica"/>
          <w:szCs w:val="22"/>
        </w:rPr>
        <w:t>timely</w:t>
      </w:r>
      <w:r w:rsidRPr="007F2F2D">
        <w:rPr>
          <w:rFonts w:ascii="Helvetica" w:hAnsi="Helvetica"/>
          <w:szCs w:val="22"/>
        </w:rPr>
        <w:t xml:space="preserve"> and adequately funded U.S. government response to PrEP for </w:t>
      </w:r>
      <w:proofErr w:type="gramStart"/>
      <w:r w:rsidRPr="007F2F2D">
        <w:rPr>
          <w:rFonts w:ascii="Helvetica" w:hAnsi="Helvetica"/>
          <w:szCs w:val="22"/>
        </w:rPr>
        <w:t xml:space="preserve">women that </w:t>
      </w:r>
      <w:r w:rsidRPr="003752A5">
        <w:rPr>
          <w:rFonts w:ascii="Helvetica" w:hAnsi="Helvetica"/>
          <w:szCs w:val="22"/>
          <w:u w:color="000000"/>
        </w:rPr>
        <w:t>involves</w:t>
      </w:r>
      <w:proofErr w:type="gramEnd"/>
      <w:r w:rsidRPr="003752A5">
        <w:rPr>
          <w:rFonts w:ascii="Helvetica" w:hAnsi="Helvetica"/>
          <w:szCs w:val="22"/>
          <w:u w:color="000000"/>
        </w:rPr>
        <w:t xml:space="preserve"> the full participation and leadership of individuals and communities most in need of effective, comprehensive HIV prevention. The federal coordinating group must look to answer critical questions not answered by current data</w:t>
      </w:r>
      <w:r>
        <w:rPr>
          <w:rFonts w:ascii="Helvetica" w:hAnsi="Helvetica"/>
          <w:szCs w:val="22"/>
          <w:u w:color="000000"/>
        </w:rPr>
        <w:t xml:space="preserve"> about daily Truvada for PrEP</w:t>
      </w:r>
      <w:r w:rsidRPr="003752A5">
        <w:rPr>
          <w:rFonts w:ascii="Helvetica" w:hAnsi="Helvetica"/>
          <w:szCs w:val="22"/>
          <w:u w:color="000000"/>
        </w:rPr>
        <w:t xml:space="preserve">, including: </w:t>
      </w:r>
    </w:p>
    <w:p w:rsidR="004C3935" w:rsidRPr="003752A5" w:rsidRDefault="004C3935" w:rsidP="004C3935">
      <w:pPr>
        <w:pStyle w:val="ColorfulList-Accent1"/>
        <w:numPr>
          <w:ilvl w:val="0"/>
          <w:numId w:val="3"/>
        </w:numPr>
        <w:rPr>
          <w:rFonts w:ascii="Helvetica" w:hAnsi="Helvetica"/>
          <w:szCs w:val="22"/>
        </w:rPr>
      </w:pPr>
      <w:r w:rsidRPr="003752A5">
        <w:rPr>
          <w:rFonts w:ascii="Helvetica" w:hAnsi="Helvetica"/>
          <w:szCs w:val="22"/>
        </w:rPr>
        <w:t xml:space="preserve">How will </w:t>
      </w:r>
      <w:r>
        <w:rPr>
          <w:rFonts w:ascii="Helvetica" w:hAnsi="Helvetica"/>
          <w:szCs w:val="22"/>
        </w:rPr>
        <w:t xml:space="preserve">daily PrEP </w:t>
      </w:r>
      <w:r w:rsidRPr="003752A5">
        <w:rPr>
          <w:rFonts w:ascii="Helvetica" w:hAnsi="Helvetica"/>
          <w:szCs w:val="22"/>
        </w:rPr>
        <w:t xml:space="preserve">be used for HIV prevention by women in the United States? </w:t>
      </w:r>
    </w:p>
    <w:p w:rsidR="004C3935" w:rsidRPr="003752A5" w:rsidRDefault="004C3935" w:rsidP="004C3935">
      <w:pPr>
        <w:pStyle w:val="ColorfulList-Accent1"/>
        <w:numPr>
          <w:ilvl w:val="0"/>
          <w:numId w:val="3"/>
        </w:numPr>
        <w:rPr>
          <w:rFonts w:ascii="Helvetica" w:hAnsi="Helvetica"/>
          <w:szCs w:val="22"/>
        </w:rPr>
      </w:pPr>
      <w:r w:rsidRPr="003752A5">
        <w:rPr>
          <w:rFonts w:ascii="Helvetica" w:hAnsi="Helvetica"/>
          <w:szCs w:val="22"/>
        </w:rPr>
        <w:t xml:space="preserve">What data are needed regarding </w:t>
      </w:r>
      <w:r>
        <w:rPr>
          <w:rFonts w:ascii="Helvetica" w:hAnsi="Helvetica"/>
          <w:szCs w:val="22"/>
        </w:rPr>
        <w:t xml:space="preserve">daily </w:t>
      </w:r>
      <w:r w:rsidRPr="003752A5">
        <w:rPr>
          <w:rFonts w:ascii="Helvetica" w:hAnsi="Helvetica"/>
          <w:szCs w:val="22"/>
        </w:rPr>
        <w:t>PrEP’s acceptability and effectiveness among those women?</w:t>
      </w:r>
    </w:p>
    <w:p w:rsidR="004C3935" w:rsidRPr="003752A5" w:rsidRDefault="004C3935" w:rsidP="004C3935">
      <w:pPr>
        <w:pStyle w:val="ColorfulList-Accent1"/>
        <w:numPr>
          <w:ilvl w:val="0"/>
          <w:numId w:val="3"/>
        </w:numPr>
        <w:rPr>
          <w:rFonts w:ascii="Helvetica" w:hAnsi="Helvetica"/>
          <w:szCs w:val="22"/>
        </w:rPr>
      </w:pPr>
      <w:r w:rsidRPr="003752A5">
        <w:rPr>
          <w:rFonts w:ascii="Helvetica" w:hAnsi="Helvetica"/>
          <w:szCs w:val="22"/>
        </w:rPr>
        <w:t xml:space="preserve">How will </w:t>
      </w:r>
      <w:r>
        <w:rPr>
          <w:rFonts w:ascii="Helvetica" w:hAnsi="Helvetica"/>
          <w:szCs w:val="22"/>
        </w:rPr>
        <w:t xml:space="preserve">daily </w:t>
      </w:r>
      <w:r w:rsidRPr="003752A5">
        <w:rPr>
          <w:rFonts w:ascii="Helvetica" w:hAnsi="Helvetica"/>
          <w:szCs w:val="22"/>
        </w:rPr>
        <w:t xml:space="preserve">PrEP be promoted, made accessible and financed for use by U.S. women? </w:t>
      </w:r>
    </w:p>
    <w:p w:rsidR="004C3935" w:rsidRPr="003752A5" w:rsidRDefault="004C3935" w:rsidP="004C3935">
      <w:pPr>
        <w:rPr>
          <w:rFonts w:ascii="Helvetica" w:hAnsi="Helvetica"/>
          <w:szCs w:val="22"/>
        </w:rPr>
      </w:pPr>
      <w:r w:rsidRPr="003752A5">
        <w:rPr>
          <w:rFonts w:ascii="Helvetica" w:hAnsi="Helvetica"/>
          <w:szCs w:val="22"/>
        </w:rPr>
        <w:t>The Working Group calls for prompt action from federal agencies, led by the Office of National AIDS Policy (ONAP) and the Centers for Disease Control and Prevention (CDC</w:t>
      </w:r>
      <w:r w:rsidRPr="003752A5">
        <w:rPr>
          <w:rFonts w:ascii="Helvetica" w:hAnsi="Helvetica"/>
          <w:b/>
          <w:szCs w:val="22"/>
        </w:rPr>
        <w:t xml:space="preserve">) </w:t>
      </w:r>
      <w:r w:rsidRPr="003752A5">
        <w:rPr>
          <w:rFonts w:ascii="Helvetica" w:hAnsi="Helvetica"/>
          <w:szCs w:val="22"/>
        </w:rPr>
        <w:t>to</w:t>
      </w:r>
      <w:r w:rsidRPr="003752A5">
        <w:rPr>
          <w:rFonts w:ascii="Helvetica" w:hAnsi="Helvetica"/>
          <w:b/>
          <w:szCs w:val="22"/>
        </w:rPr>
        <w:t xml:space="preserve"> </w:t>
      </w:r>
      <w:r w:rsidRPr="003752A5">
        <w:rPr>
          <w:rFonts w:ascii="Helvetica" w:hAnsi="Helvetica"/>
          <w:szCs w:val="22"/>
        </w:rPr>
        <w:t>develop a plan that will</w:t>
      </w:r>
      <w:r w:rsidRPr="003752A5">
        <w:rPr>
          <w:rFonts w:ascii="Helvetica" w:hAnsi="Helvetica"/>
          <w:b/>
          <w:szCs w:val="22"/>
        </w:rPr>
        <w:t xml:space="preserve"> </w:t>
      </w:r>
      <w:r w:rsidRPr="003752A5">
        <w:rPr>
          <w:rFonts w:ascii="Helvetica" w:hAnsi="Helvetica"/>
          <w:szCs w:val="22"/>
        </w:rPr>
        <w:t>fill the gaps in PrEP research, public and provider education, social marketing and public policy, and that defines the next steps required for real-world use and development of a comprehensive rollout plan for PrEP among at risk women in the United States.</w:t>
      </w:r>
    </w:p>
    <w:p w:rsidR="004C3935" w:rsidRPr="003752A5" w:rsidRDefault="004C3935" w:rsidP="004C3935">
      <w:pPr>
        <w:rPr>
          <w:rFonts w:ascii="Helvetica" w:hAnsi="Helvetica"/>
          <w:szCs w:val="22"/>
        </w:rPr>
      </w:pPr>
      <w:r w:rsidRPr="00DA3E9C">
        <w:rPr>
          <w:rFonts w:ascii="Helvetica" w:hAnsi="Helvetica"/>
          <w:szCs w:val="22"/>
        </w:rPr>
        <w:t xml:space="preserve">“Male and female </w:t>
      </w:r>
      <w:r w:rsidRPr="007F2F2D">
        <w:rPr>
          <w:rFonts w:ascii="Helvetica" w:hAnsi="Helvetica"/>
          <w:szCs w:val="22"/>
        </w:rPr>
        <w:t>condoms are wonderful HIV prevention options that work for many women and their partners. But some women can’t insist their partners use condoms, and ma</w:t>
      </w:r>
      <w:r w:rsidRPr="009C135C">
        <w:rPr>
          <w:rFonts w:ascii="Helvetica" w:hAnsi="Helvetica"/>
          <w:szCs w:val="22"/>
        </w:rPr>
        <w:t xml:space="preserve">ny young women and their HIV-positive partners want to have children,” said Erika Aaron, a nurse practitioner at Drexel University School of Medicine, Division of Infectious Diseases and HIV Medicine. “Those women need other options to protect themselves from HIV. PrEP can help </w:t>
      </w:r>
      <w:r w:rsidRPr="003752A5">
        <w:rPr>
          <w:rFonts w:ascii="Helvetica" w:hAnsi="Helvetica"/>
          <w:szCs w:val="22"/>
        </w:rPr>
        <w:t>them stay HIV-negative. We have a moral imperative to find ways to make it available to women who need it and who can use it.”</w:t>
      </w:r>
    </w:p>
    <w:p w:rsidR="004C3935" w:rsidRPr="003752A5" w:rsidRDefault="004C3935" w:rsidP="004C3935">
      <w:pPr>
        <w:jc w:val="center"/>
        <w:rPr>
          <w:rFonts w:ascii="Helvetica" w:hAnsi="Helvetica"/>
          <w:szCs w:val="22"/>
        </w:rPr>
      </w:pPr>
      <w:r w:rsidRPr="003752A5">
        <w:rPr>
          <w:rFonts w:ascii="Helvetica" w:hAnsi="Helvetica"/>
          <w:szCs w:val="22"/>
        </w:rPr>
        <w:t>###</w:t>
      </w:r>
    </w:p>
    <w:p w:rsidR="004C3935" w:rsidRPr="003752A5" w:rsidRDefault="004C3935" w:rsidP="004C3935">
      <w:pPr>
        <w:rPr>
          <w:rFonts w:ascii="Helvetica" w:hAnsi="Helvetica"/>
          <w:szCs w:val="22"/>
        </w:rPr>
      </w:pPr>
    </w:p>
    <w:p w:rsidR="004C3935" w:rsidRPr="003752A5" w:rsidRDefault="004C3935" w:rsidP="004C3935">
      <w:pPr>
        <w:rPr>
          <w:rFonts w:ascii="Helvetica" w:hAnsi="Helvetica"/>
          <w:b/>
          <w:szCs w:val="22"/>
          <w:lang w:val="en-GB"/>
        </w:rPr>
      </w:pPr>
      <w:r w:rsidRPr="003752A5">
        <w:rPr>
          <w:rFonts w:ascii="Helvetica" w:hAnsi="Helvetica"/>
          <w:szCs w:val="22"/>
        </w:rPr>
        <w:t xml:space="preserve">The </w:t>
      </w:r>
      <w:r w:rsidRPr="003752A5">
        <w:rPr>
          <w:rFonts w:ascii="Helvetica" w:hAnsi="Helvetica"/>
          <w:szCs w:val="22"/>
          <w:lang w:val="en-GB"/>
        </w:rPr>
        <w:t>Working Group on U.S. Women and PrEP Statement and other information about PrEP and women is available at http://www.prepwatch.org/#women.</w:t>
      </w:r>
    </w:p>
    <w:p w:rsidR="004C3935" w:rsidRPr="003752A5" w:rsidRDefault="004C3935">
      <w:pPr>
        <w:rPr>
          <w:rFonts w:ascii="Helvetica" w:hAnsi="Helvetica"/>
          <w:szCs w:val="22"/>
        </w:rPr>
      </w:pPr>
    </w:p>
    <w:sectPr w:rsidR="004C3935" w:rsidRPr="003752A5" w:rsidSect="006C2704">
      <w:headerReference w:type="default" r:id="rId9"/>
      <w:footerReference w:type="even" r:id="rId10"/>
      <w:footerReference w:type="default" r:id="rId11"/>
      <w:pgSz w:w="12240" w:h="15840"/>
      <w:pgMar w:top="72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69C" w:rsidRDefault="0034169C" w:rsidP="004C3935">
      <w:pPr>
        <w:spacing w:after="0"/>
      </w:pPr>
      <w:r>
        <w:separator/>
      </w:r>
    </w:p>
  </w:endnote>
  <w:endnote w:type="continuationSeparator" w:id="0">
    <w:p w:rsidR="0034169C" w:rsidRDefault="0034169C" w:rsidP="004C393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00000000" w:usb2="01000407" w:usb3="00000000" w:csb0="0002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aco">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35" w:rsidRDefault="004C3935" w:rsidP="004C3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3935" w:rsidRDefault="004C3935" w:rsidP="004C39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35" w:rsidRPr="005D2D3C" w:rsidRDefault="004C3935" w:rsidP="004C3935">
    <w:pPr>
      <w:pStyle w:val="Footer"/>
      <w:framePr w:wrap="around" w:vAnchor="text" w:hAnchor="margin" w:xAlign="right" w:y="1"/>
      <w:rPr>
        <w:rStyle w:val="PageNumber"/>
      </w:rPr>
    </w:pPr>
    <w:r w:rsidRPr="005D2D3C">
      <w:rPr>
        <w:rStyle w:val="PageNumber"/>
        <w:rFonts w:ascii="Helvetica" w:hAnsi="Helvetica"/>
      </w:rPr>
      <w:fldChar w:fldCharType="begin"/>
    </w:r>
    <w:r w:rsidRPr="005D2D3C">
      <w:rPr>
        <w:rStyle w:val="PageNumber"/>
        <w:rFonts w:ascii="Helvetica" w:hAnsi="Helvetica"/>
      </w:rPr>
      <w:instrText xml:space="preserve">PAGE  </w:instrText>
    </w:r>
    <w:r w:rsidRPr="005D2D3C">
      <w:rPr>
        <w:rStyle w:val="PageNumber"/>
        <w:rFonts w:ascii="Helvetica" w:hAnsi="Helvetica"/>
      </w:rPr>
      <w:fldChar w:fldCharType="separate"/>
    </w:r>
    <w:r w:rsidR="00827C0E">
      <w:rPr>
        <w:rStyle w:val="PageNumber"/>
        <w:rFonts w:ascii="Helvetica" w:hAnsi="Helvetica"/>
        <w:noProof/>
      </w:rPr>
      <w:t>2</w:t>
    </w:r>
    <w:r w:rsidRPr="005D2D3C">
      <w:rPr>
        <w:rStyle w:val="PageNumber"/>
        <w:rFonts w:ascii="Helvetica" w:hAnsi="Helvetica"/>
      </w:rPr>
      <w:fldChar w:fldCharType="end"/>
    </w:r>
  </w:p>
  <w:p w:rsidR="004C3935" w:rsidRDefault="004C3935" w:rsidP="004C393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69C" w:rsidRDefault="0034169C" w:rsidP="004C3935">
      <w:pPr>
        <w:spacing w:after="0"/>
      </w:pPr>
      <w:r>
        <w:separator/>
      </w:r>
    </w:p>
  </w:footnote>
  <w:footnote w:type="continuationSeparator" w:id="0">
    <w:p w:rsidR="0034169C" w:rsidRDefault="0034169C" w:rsidP="004C393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35" w:rsidRPr="00DC5042" w:rsidRDefault="004C3935" w:rsidP="004C3935">
    <w:pPr>
      <w:pStyle w:val="Header"/>
      <w:jc w:val="center"/>
      <w:rPr>
        <w:rFonts w:ascii="Arial" w:hAnsi="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216"/>
        </w:tabs>
        <w:ind w:left="216" w:firstLine="216"/>
      </w:pPr>
      <w:rPr>
        <w:rFonts w:hint="default"/>
        <w:position w:val="0"/>
        <w:sz w:val="24"/>
      </w:rPr>
    </w:lvl>
    <w:lvl w:ilvl="1">
      <w:start w:val="1"/>
      <w:numFmt w:val="decimal"/>
      <w:isLgl/>
      <w:suff w:val="nothing"/>
      <w:lvlText w:val="%2."/>
      <w:lvlJc w:val="left"/>
      <w:pPr>
        <w:ind w:left="0" w:firstLine="1872"/>
      </w:pPr>
      <w:rPr>
        <w:rFonts w:hint="default"/>
        <w:position w:val="0"/>
        <w:sz w:val="24"/>
      </w:rPr>
    </w:lvl>
    <w:lvl w:ilvl="2">
      <w:start w:val="1"/>
      <w:numFmt w:val="bullet"/>
      <w:suff w:val="nothing"/>
      <w:lvlText w:val=""/>
      <w:lvlJc w:val="left"/>
      <w:pPr>
        <w:ind w:left="0" w:firstLine="2592"/>
      </w:pPr>
      <w:rPr>
        <w:rFonts w:ascii="Wingdings" w:eastAsia="ヒラギノ角ゴ Pro W3" w:hAnsi="Wingdings" w:hint="default"/>
        <w:position w:val="0"/>
        <w:sz w:val="24"/>
      </w:rPr>
    </w:lvl>
    <w:lvl w:ilvl="3">
      <w:start w:val="1"/>
      <w:numFmt w:val="bullet"/>
      <w:suff w:val="nothing"/>
      <w:lvlText w:val="·"/>
      <w:lvlJc w:val="left"/>
      <w:pPr>
        <w:ind w:left="0" w:firstLine="3312"/>
      </w:pPr>
      <w:rPr>
        <w:rFonts w:hint="default"/>
        <w:position w:val="0"/>
        <w:sz w:val="24"/>
      </w:rPr>
    </w:lvl>
    <w:lvl w:ilvl="4">
      <w:start w:val="1"/>
      <w:numFmt w:val="bullet"/>
      <w:suff w:val="nothing"/>
      <w:lvlText w:val="o"/>
      <w:lvlJc w:val="left"/>
      <w:pPr>
        <w:ind w:left="0" w:firstLine="4032"/>
      </w:pPr>
      <w:rPr>
        <w:rFonts w:ascii="Courier New" w:eastAsia="ヒラギノ角ゴ Pro W3" w:hAnsi="Courier New" w:hint="default"/>
        <w:position w:val="0"/>
        <w:sz w:val="24"/>
      </w:rPr>
    </w:lvl>
    <w:lvl w:ilvl="5">
      <w:start w:val="1"/>
      <w:numFmt w:val="bullet"/>
      <w:suff w:val="nothing"/>
      <w:lvlText w:val=""/>
      <w:lvlJc w:val="left"/>
      <w:pPr>
        <w:ind w:left="0" w:firstLine="4752"/>
      </w:pPr>
      <w:rPr>
        <w:rFonts w:ascii="Wingdings" w:eastAsia="ヒラギノ角ゴ Pro W3" w:hAnsi="Wingdings" w:hint="default"/>
        <w:position w:val="0"/>
        <w:sz w:val="24"/>
      </w:rPr>
    </w:lvl>
    <w:lvl w:ilvl="6">
      <w:start w:val="1"/>
      <w:numFmt w:val="bullet"/>
      <w:suff w:val="nothing"/>
      <w:lvlText w:val="·"/>
      <w:lvlJc w:val="left"/>
      <w:pPr>
        <w:ind w:left="0" w:firstLine="5472"/>
      </w:pPr>
      <w:rPr>
        <w:rFonts w:hint="default"/>
        <w:position w:val="0"/>
        <w:sz w:val="24"/>
      </w:rPr>
    </w:lvl>
    <w:lvl w:ilvl="7">
      <w:start w:val="1"/>
      <w:numFmt w:val="bullet"/>
      <w:suff w:val="nothing"/>
      <w:lvlText w:val="o"/>
      <w:lvlJc w:val="left"/>
      <w:pPr>
        <w:ind w:left="0" w:firstLine="6192"/>
      </w:pPr>
      <w:rPr>
        <w:rFonts w:ascii="Courier New" w:eastAsia="ヒラギノ角ゴ Pro W3" w:hAnsi="Courier New" w:hint="default"/>
        <w:position w:val="0"/>
        <w:sz w:val="24"/>
      </w:rPr>
    </w:lvl>
    <w:lvl w:ilvl="8">
      <w:start w:val="1"/>
      <w:numFmt w:val="bullet"/>
      <w:suff w:val="nothing"/>
      <w:lvlText w:val=""/>
      <w:lvlJc w:val="left"/>
      <w:pPr>
        <w:ind w:left="0" w:firstLine="6912"/>
      </w:pPr>
      <w:rPr>
        <w:rFonts w:ascii="Wingdings" w:eastAsia="ヒラギノ角ゴ Pro W3" w:hAnsi="Wingdings" w:hint="default"/>
        <w:position w:val="0"/>
        <w:sz w:val="24"/>
      </w:rPr>
    </w:lvl>
  </w:abstractNum>
  <w:abstractNum w:abstractNumId="1">
    <w:nsid w:val="00000007"/>
    <w:multiLevelType w:val="multilevel"/>
    <w:tmpl w:val="894EE879"/>
    <w:lvl w:ilvl="0">
      <w:numFmt w:val="bullet"/>
      <w:suff w:val="nothing"/>
      <w:lvlText w:val="•"/>
      <w:lvlJc w:val="left"/>
      <w:pPr>
        <w:ind w:left="0" w:firstLine="720"/>
      </w:pPr>
      <w:rPr>
        <w:rFonts w:hint="default"/>
        <w:position w:val="0"/>
        <w:sz w:val="24"/>
      </w:rPr>
    </w:lvl>
    <w:lvl w:ilvl="1">
      <w:start w:val="1"/>
      <w:numFmt w:val="bullet"/>
      <w:lvlText w:val="o"/>
      <w:lvlJc w:val="left"/>
      <w:pPr>
        <w:tabs>
          <w:tab w:val="num" w:pos="360"/>
        </w:tabs>
        <w:ind w:left="360" w:firstLine="0"/>
      </w:pPr>
      <w:rPr>
        <w:rFonts w:ascii="Courier New" w:eastAsia="ヒラギノ角ゴ Pro W3" w:hAnsi="Courier New" w:hint="default"/>
        <w:position w:val="0"/>
        <w:sz w:val="24"/>
      </w:rPr>
    </w:lvl>
    <w:lvl w:ilvl="2">
      <w:start w:val="1"/>
      <w:numFmt w:val="bullet"/>
      <w:suff w:val="nothing"/>
      <w:lvlText w:val=""/>
      <w:lvlJc w:val="left"/>
      <w:pPr>
        <w:ind w:left="0" w:firstLine="288"/>
      </w:pPr>
      <w:rPr>
        <w:rFonts w:ascii="Wingdings" w:eastAsia="ヒラギノ角ゴ Pro W3" w:hAnsi="Wingdings" w:hint="default"/>
        <w:position w:val="0"/>
        <w:sz w:val="24"/>
      </w:rPr>
    </w:lvl>
    <w:lvl w:ilvl="3">
      <w:start w:val="1"/>
      <w:numFmt w:val="bullet"/>
      <w:suff w:val="nothing"/>
      <w:lvlText w:val="•"/>
      <w:lvlJc w:val="left"/>
      <w:pPr>
        <w:ind w:left="0" w:firstLine="2880"/>
      </w:pPr>
      <w:rPr>
        <w:rFonts w:hint="default"/>
        <w:position w:val="0"/>
        <w:sz w:val="24"/>
      </w:rPr>
    </w:lvl>
    <w:lvl w:ilvl="4">
      <w:start w:val="1"/>
      <w:numFmt w:val="bullet"/>
      <w:suff w:val="nothing"/>
      <w:lvlText w:val="o"/>
      <w:lvlJc w:val="left"/>
      <w:pPr>
        <w:ind w:left="0" w:firstLine="3600"/>
      </w:pPr>
      <w:rPr>
        <w:rFonts w:ascii="Courier New" w:eastAsia="ヒラギノ角ゴ Pro W3" w:hAnsi="Courier New" w:hint="default"/>
        <w:position w:val="0"/>
        <w:sz w:val="24"/>
      </w:rPr>
    </w:lvl>
    <w:lvl w:ilvl="5">
      <w:start w:val="1"/>
      <w:numFmt w:val="bullet"/>
      <w:suff w:val="nothing"/>
      <w:lvlText w:val=""/>
      <w:lvlJc w:val="left"/>
      <w:pPr>
        <w:ind w:left="0" w:firstLine="4320"/>
      </w:pPr>
      <w:rPr>
        <w:rFonts w:ascii="Wingdings" w:eastAsia="ヒラギノ角ゴ Pro W3" w:hAnsi="Wingdings" w:hint="default"/>
        <w:position w:val="0"/>
        <w:sz w:val="24"/>
      </w:rPr>
    </w:lvl>
    <w:lvl w:ilvl="6">
      <w:start w:val="1"/>
      <w:numFmt w:val="bullet"/>
      <w:suff w:val="nothing"/>
      <w:lvlText w:val="•"/>
      <w:lvlJc w:val="left"/>
      <w:pPr>
        <w:ind w:left="0" w:firstLine="5040"/>
      </w:pPr>
      <w:rPr>
        <w:rFonts w:hint="default"/>
        <w:position w:val="0"/>
        <w:sz w:val="24"/>
      </w:rPr>
    </w:lvl>
    <w:lvl w:ilvl="7">
      <w:start w:val="1"/>
      <w:numFmt w:val="bullet"/>
      <w:suff w:val="nothing"/>
      <w:lvlText w:val="o"/>
      <w:lvlJc w:val="left"/>
      <w:pPr>
        <w:ind w:left="0" w:firstLine="5760"/>
      </w:pPr>
      <w:rPr>
        <w:rFonts w:ascii="Courier New" w:eastAsia="ヒラギノ角ゴ Pro W3" w:hAnsi="Courier New" w:hint="default"/>
        <w:position w:val="0"/>
        <w:sz w:val="24"/>
      </w:rPr>
    </w:lvl>
    <w:lvl w:ilvl="8">
      <w:start w:val="1"/>
      <w:numFmt w:val="bullet"/>
      <w:suff w:val="nothing"/>
      <w:lvlText w:val=""/>
      <w:lvlJc w:val="left"/>
      <w:pPr>
        <w:ind w:left="0" w:firstLine="6480"/>
      </w:pPr>
      <w:rPr>
        <w:rFonts w:ascii="Wingdings" w:eastAsia="ヒラギノ角ゴ Pro W3" w:hAnsi="Wingdings" w:hint="default"/>
        <w:position w:val="0"/>
        <w:sz w:val="24"/>
      </w:rPr>
    </w:lvl>
  </w:abstractNum>
  <w:abstractNum w:abstractNumId="2">
    <w:nsid w:val="2E7B654B"/>
    <w:multiLevelType w:val="hybridMultilevel"/>
    <w:tmpl w:val="4FAE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806C77"/>
    <w:multiLevelType w:val="hybridMultilevel"/>
    <w:tmpl w:val="B284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
  <w:rsids>
    <w:rsidRoot w:val="00DC5042"/>
    <w:rsid w:val="0034169C"/>
    <w:rsid w:val="004C3935"/>
    <w:rsid w:val="00582597"/>
    <w:rsid w:val="00636F1A"/>
    <w:rsid w:val="006C2704"/>
    <w:rsid w:val="007467B9"/>
    <w:rsid w:val="00827C0E"/>
    <w:rsid w:val="00BA2F60"/>
    <w:rsid w:val="00C420F4"/>
    <w:rsid w:val="00CB60C5"/>
    <w:rsid w:val="00FF595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35785"/>
    <w:pPr>
      <w:spacing w:after="200"/>
    </w:pPr>
    <w:rPr>
      <w:rFonts w:ascii="Garamond" w:hAnsi="Garamond"/>
      <w:color w:val="000000"/>
      <w:sz w:val="22"/>
      <w:szCs w:val="24"/>
      <w:lang w:eastAsia="ja-JP"/>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DC5042"/>
    <w:pPr>
      <w:tabs>
        <w:tab w:val="center" w:pos="4320"/>
        <w:tab w:val="right" w:pos="8640"/>
      </w:tabs>
      <w:spacing w:after="0"/>
    </w:pPr>
  </w:style>
  <w:style w:type="character" w:customStyle="1" w:styleId="HeaderChar">
    <w:name w:val="Header Char"/>
    <w:link w:val="Header"/>
    <w:uiPriority w:val="99"/>
    <w:rsid w:val="00DC5042"/>
    <w:rPr>
      <w:rFonts w:ascii="Garamond" w:hAnsi="Garamond"/>
      <w:color w:val="000000"/>
      <w:sz w:val="22"/>
      <w:szCs w:val="24"/>
    </w:rPr>
  </w:style>
  <w:style w:type="paragraph" w:styleId="Footer">
    <w:name w:val="footer"/>
    <w:basedOn w:val="Normal"/>
    <w:link w:val="FooterChar"/>
    <w:uiPriority w:val="99"/>
    <w:unhideWhenUsed/>
    <w:rsid w:val="00DC5042"/>
    <w:pPr>
      <w:tabs>
        <w:tab w:val="center" w:pos="4320"/>
        <w:tab w:val="right" w:pos="8640"/>
      </w:tabs>
      <w:spacing w:after="0"/>
    </w:pPr>
  </w:style>
  <w:style w:type="character" w:customStyle="1" w:styleId="FooterChar">
    <w:name w:val="Footer Char"/>
    <w:link w:val="Footer"/>
    <w:uiPriority w:val="99"/>
    <w:rsid w:val="00DC5042"/>
    <w:rPr>
      <w:rFonts w:ascii="Garamond" w:hAnsi="Garamond"/>
      <w:color w:val="000000"/>
      <w:sz w:val="22"/>
      <w:szCs w:val="24"/>
    </w:rPr>
  </w:style>
  <w:style w:type="character" w:styleId="Hyperlink">
    <w:name w:val="Hyperlink"/>
    <w:uiPriority w:val="99"/>
    <w:unhideWhenUsed/>
    <w:rsid w:val="00800F39"/>
    <w:rPr>
      <w:color w:val="0000FF"/>
      <w:u w:val="single"/>
    </w:rPr>
  </w:style>
  <w:style w:type="paragraph" w:customStyle="1" w:styleId="Body">
    <w:name w:val="Body"/>
    <w:rsid w:val="00090209"/>
    <w:rPr>
      <w:rFonts w:ascii="Helvetica" w:eastAsia="ヒラギノ角ゴ Pro W3" w:hAnsi="Helvetica"/>
      <w:color w:val="000000"/>
      <w:sz w:val="24"/>
      <w:lang w:val="en-GB"/>
    </w:rPr>
  </w:style>
  <w:style w:type="paragraph" w:customStyle="1" w:styleId="FreeFormAA">
    <w:name w:val="Free Form A A"/>
    <w:rsid w:val="006D5D75"/>
    <w:rPr>
      <w:rFonts w:ascii="Helvetica" w:eastAsia="ヒラギノ角ゴ Pro W3" w:hAnsi="Helvetica"/>
      <w:color w:val="000000"/>
      <w:sz w:val="24"/>
      <w:lang w:val="en-GB"/>
    </w:rPr>
  </w:style>
  <w:style w:type="character" w:styleId="PageNumber">
    <w:name w:val="page number"/>
    <w:basedOn w:val="DefaultParagraphFont"/>
    <w:uiPriority w:val="99"/>
    <w:semiHidden/>
    <w:unhideWhenUsed/>
    <w:rsid w:val="005D2D3C"/>
  </w:style>
  <w:style w:type="paragraph" w:styleId="ColorfulList-Accent1">
    <w:name w:val="Colorful List Accent 1"/>
    <w:basedOn w:val="Normal"/>
    <w:uiPriority w:val="34"/>
    <w:qFormat/>
    <w:rsid w:val="005D2D3C"/>
    <w:pPr>
      <w:ind w:left="720"/>
      <w:contextualSpacing/>
    </w:pPr>
  </w:style>
  <w:style w:type="character" w:styleId="CommentReference">
    <w:name w:val="annotation reference"/>
    <w:uiPriority w:val="99"/>
    <w:semiHidden/>
    <w:unhideWhenUsed/>
    <w:rsid w:val="00596D7A"/>
    <w:rPr>
      <w:sz w:val="16"/>
      <w:szCs w:val="16"/>
    </w:rPr>
  </w:style>
  <w:style w:type="paragraph" w:styleId="CommentText">
    <w:name w:val="annotation text"/>
    <w:basedOn w:val="Normal"/>
    <w:link w:val="CommentTextChar"/>
    <w:uiPriority w:val="99"/>
    <w:semiHidden/>
    <w:unhideWhenUsed/>
    <w:rsid w:val="00596D7A"/>
    <w:rPr>
      <w:sz w:val="20"/>
      <w:szCs w:val="20"/>
    </w:rPr>
  </w:style>
  <w:style w:type="character" w:customStyle="1" w:styleId="CommentTextChar">
    <w:name w:val="Comment Text Char"/>
    <w:link w:val="CommentText"/>
    <w:uiPriority w:val="99"/>
    <w:semiHidden/>
    <w:rsid w:val="00596D7A"/>
    <w:rPr>
      <w:rFonts w:ascii="Garamond" w:hAnsi="Garamond"/>
      <w:color w:val="000000"/>
    </w:rPr>
  </w:style>
  <w:style w:type="paragraph" w:styleId="CommentSubject">
    <w:name w:val="annotation subject"/>
    <w:basedOn w:val="CommentText"/>
    <w:next w:val="CommentText"/>
    <w:link w:val="CommentSubjectChar"/>
    <w:uiPriority w:val="99"/>
    <w:semiHidden/>
    <w:unhideWhenUsed/>
    <w:rsid w:val="00596D7A"/>
    <w:rPr>
      <w:b/>
      <w:bCs/>
    </w:rPr>
  </w:style>
  <w:style w:type="character" w:customStyle="1" w:styleId="CommentSubjectChar">
    <w:name w:val="Comment Subject Char"/>
    <w:link w:val="CommentSubject"/>
    <w:uiPriority w:val="99"/>
    <w:semiHidden/>
    <w:rsid w:val="00596D7A"/>
    <w:rPr>
      <w:rFonts w:ascii="Garamond" w:hAnsi="Garamond"/>
      <w:b/>
      <w:bCs/>
      <w:color w:val="000000"/>
    </w:rPr>
  </w:style>
  <w:style w:type="paragraph" w:styleId="BalloonText">
    <w:name w:val="Balloon Text"/>
    <w:basedOn w:val="Normal"/>
    <w:link w:val="BalloonTextChar"/>
    <w:uiPriority w:val="99"/>
    <w:semiHidden/>
    <w:unhideWhenUsed/>
    <w:rsid w:val="00596D7A"/>
    <w:pPr>
      <w:spacing w:after="0"/>
    </w:pPr>
    <w:rPr>
      <w:rFonts w:ascii="Tahoma" w:hAnsi="Tahoma" w:cs="Tahoma"/>
      <w:sz w:val="16"/>
      <w:szCs w:val="16"/>
    </w:rPr>
  </w:style>
  <w:style w:type="character" w:customStyle="1" w:styleId="BalloonTextChar">
    <w:name w:val="Balloon Text Char"/>
    <w:link w:val="BalloonText"/>
    <w:uiPriority w:val="99"/>
    <w:semiHidden/>
    <w:rsid w:val="00596D7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erika.aaron@drexelmed.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ddiallo@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5853</CharactersWithSpaces>
  <SharedDoc>false</SharedDoc>
  <HLinks>
    <vt:vector size="12" baseType="variant">
      <vt:variant>
        <vt:i4>983162</vt:i4>
      </vt:variant>
      <vt:variant>
        <vt:i4>3</vt:i4>
      </vt:variant>
      <vt:variant>
        <vt:i4>0</vt:i4>
      </vt:variant>
      <vt:variant>
        <vt:i4>5</vt:i4>
      </vt:variant>
      <vt:variant>
        <vt:lpwstr>mailto:erika.aaron@drexelmed.edu</vt:lpwstr>
      </vt:variant>
      <vt:variant>
        <vt:lpwstr/>
      </vt:variant>
      <vt:variant>
        <vt:i4>6946893</vt:i4>
      </vt:variant>
      <vt:variant>
        <vt:i4>0</vt:i4>
      </vt:variant>
      <vt:variant>
        <vt:i4>0</vt:i4>
      </vt:variant>
      <vt:variant>
        <vt:i4>5</vt:i4>
      </vt:variant>
      <vt:variant>
        <vt:lpwstr>mailto:dddiallo@gmail.com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Marshall</dc:creator>
  <cp:lastModifiedBy>LeishaM</cp:lastModifiedBy>
  <cp:revision>2</cp:revision>
  <cp:lastPrinted>2013-03-04T14:30:00Z</cp:lastPrinted>
  <dcterms:created xsi:type="dcterms:W3CDTF">2014-01-17T09:46:00Z</dcterms:created>
  <dcterms:modified xsi:type="dcterms:W3CDTF">2014-01-17T09:46:00Z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